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280" w:line="300" w:lineRule="auto"/>
      </w:pPr>
      <w:r>
        <w:rPr>
          <w:b/>
          <w:sz w:val="32"/>
        </w:rPr>
        <w:t xml:space="preserve">Modelo de contrato da clínica com o paciente</w:t>
      </w:r>
    </w:p>
    <w:p>
      <w:pPr>
        <w:spacing w:after="160" w:line="300" w:lineRule="auto"/>
      </w:pPr>
      <w:r>
        <w:rPr>
          <w:b/>
          <w:sz w:val="22"/>
        </w:rPr>
        <w:t xml:space="preserve">Contrato de prestação de serviços de saúde</w:t>
      </w:r>
    </w:p>
    <w:p>
      <w:pPr>
        <w:spacing w:after="160" w:line="300" w:lineRule="auto"/>
      </w:pPr>
      <w:r>
        <w:rPr>
          <w:b/>
          <w:sz w:val="22"/>
        </w:rPr>
        <w:t xml:space="preserve">1. Partes.</w:t>
      </w:r>
      <w:r>
        <w:rPr>
          <w:sz w:val="22"/>
        </w:rPr>
        <w:t xml:space="preserve"> [Razão social da clínica], CNPJ [ ], endereço [ ], doravante "Clínica". [Nome de quem contrata], CPF [ ], doravante "Contratante". Pessoa atendida: [nome], quando for outra pessoa. Quem paga: [nome e CPF]. (CDC, art. 3º: fornecedor pode ser pessoa jurídica. Os dados de quem paga e de quem é atendido servem à nota fiscal: veja o guia da nota fiscal. A identificação do responsável legal, quando houver, é do prontuário: CFFa 777/2025, art. 12, a.)</w:t>
      </w:r>
    </w:p>
    <w:p>
      <w:pPr>
        <w:spacing w:after="160" w:line="300" w:lineRule="auto"/>
      </w:pPr>
      <w:r>
        <w:rPr>
          <w:b/>
          <w:sz w:val="22"/>
        </w:rPr>
        <w:t xml:space="preserve">2. Serviços e profissionais.</w:t>
      </w:r>
      <w:r>
        <w:rPr>
          <w:sz w:val="22"/>
        </w:rPr>
        <w:t xml:space="preserve"> A Clínica presta os serviços de [psicologia / fonoaudiologia / terapia ocupacional], por profissionais habilitados e inscritos no conselho da sua área, listados no Anexo I. Cada profissional faz o registro do seu atendimento no prontuário. (CDC, art. 6º, III. RDC 63/2011, art. 24: o registro cabe aos profissionais que atendem.)</w:t>
      </w:r>
    </w:p>
    <w:p>
      <w:pPr>
        <w:spacing w:after="160" w:line="300" w:lineRule="auto"/>
      </w:pPr>
      <w:r>
        <w:rPr>
          <w:b/>
          <w:sz w:val="22"/>
        </w:rPr>
        <w:t xml:space="preserve">3. Valor e pagamento.</w:t>
      </w:r>
      <w:r>
        <w:rPr>
          <w:sz w:val="22"/>
        </w:rPr>
        <w:t xml:space="preserve"> O valor de cada sessão, por profissional e por serviço, consta do Anexo I. O pagamento é feito [quando e como]. O valor só muda por acordo escrito entre as partes ou pelo índice e na data fixados aqui: [índice e data]. (CDC, art. 6º, III e art. 51, X. Código de Ética do psicólogo, art. 4º, b. CFFa 640/2021, arts. 25, II, e 27. Resolução CFP 13/2022, art. 3º, I, b.)</w:t>
      </w:r>
    </w:p>
    <w:p>
      <w:pPr>
        <w:spacing w:after="160" w:line="300" w:lineRule="auto"/>
      </w:pPr>
      <w:r>
        <w:rPr>
          <w:b/>
          <w:sz w:val="22"/>
        </w:rPr>
        <w:t xml:space="preserve">4. Frequência e duração.</w:t>
      </w:r>
      <w:r>
        <w:rPr>
          <w:sz w:val="22"/>
        </w:rPr>
        <w:t xml:space="preserve"> As sessões acontecem [frequência], [dia e horário], com duração de [minutos] minutos, conforme o Anexo I. (Resolução CFP 13/2022, art. 3º, I, b.)</w:t>
      </w:r>
    </w:p>
    <w:p>
      <w:pPr>
        <w:spacing w:after="160" w:line="300" w:lineRule="auto"/>
      </w:pPr>
      <w:r>
        <w:rPr>
          <w:b/>
          <w:sz w:val="22"/>
        </w:rPr>
        <w:t xml:space="preserve">5. Faltas, atrasos e remarcação.</w:t>
      </w:r>
      <w:r>
        <w:rPr>
          <w:sz w:val="22"/>
        </w:rPr>
        <w:t xml:space="preserve"> Valem as regras do Anexo II. (CFFa 640/2021, art. 9º, I. Resolução CFP 13/2022, art. 3º, I, b. CDC, art. 51, IV. Texto da regra no guia de faltas.)</w:t>
      </w:r>
    </w:p>
    <w:p>
      <w:pPr>
        <w:spacing w:after="160" w:line="300" w:lineRule="auto"/>
      </w:pPr>
      <w:r>
        <w:rPr>
          <w:b/>
          <w:sz w:val="22"/>
        </w:rPr>
        <w:t xml:space="preserve">6. Resultados.</w:t>
      </w:r>
      <w:r>
        <w:rPr>
          <w:sz w:val="22"/>
        </w:rPr>
        <w:t xml:space="preserve"> A Clínica e seus profissionais não garantem resultado do tratamento, e o valor não depende do resultado. (Resolução CFP 13/2022, art. 3º, I, c. CFFa 640/2021, art. 28, VI.)</w:t>
      </w:r>
    </w:p>
    <w:p>
      <w:pPr>
        <w:spacing w:after="160" w:line="300" w:lineRule="auto"/>
      </w:pPr>
      <w:r>
        <w:rPr>
          <w:b/>
          <w:sz w:val="22"/>
        </w:rPr>
        <w:t xml:space="preserve">7. Prontuário e sigilo.</w:t>
      </w:r>
      <w:r>
        <w:rPr>
          <w:sz w:val="22"/>
        </w:rPr>
        <w:t xml:space="preserve"> Os atendimentos são registrados em prontuário. Os profissionais da Clínica que atendem a pessoa compartilham entre si só o que for necessário ao cuidado, e todos guardam sigilo. A pessoa atendida ou o seu representante legal tem acesso ao prontuário. A Clínica guarda o prontuário por [20] anos a partir do último registro. (Resolução CFP 13/2022, art. 3º, I, e. CFP 001/2009, art. 6º. Código de Ética do psicólogo, arts. 6º, b, e 12. CFFa 640/2021, art. 23, I. RDC 63/2011, art. 28. Lei 13.787/2018, art. 6º.)</w:t>
      </w:r>
    </w:p>
    <w:p>
      <w:pPr>
        <w:spacing w:after="160" w:line="300" w:lineRule="auto"/>
      </w:pPr>
      <w:r>
        <w:rPr>
          <w:b/>
          <w:sz w:val="22"/>
        </w:rPr>
        <w:t xml:space="preserve">8. Dados pessoais.</w:t>
      </w:r>
      <w:r>
        <w:rPr>
          <w:sz w:val="22"/>
        </w:rPr>
        <w:t xml:space="preserve"> O tratamento dos dados pessoais e de saúde está descrito no Termo de dados do Anexo III. (LGPD, arts. 5º, II, e 11. CFFa 777/2025, art. 12, e.)</w:t>
      </w:r>
    </w:p>
    <w:p>
      <w:pPr>
        <w:spacing w:after="160" w:line="300" w:lineRule="auto"/>
      </w:pPr>
      <w:r>
        <w:rPr>
          <w:b/>
          <w:sz w:val="22"/>
        </w:rPr>
        <w:t xml:space="preserve">9. Interrupção.</w:t>
      </w:r>
      <w:r>
        <w:rPr>
          <w:sz w:val="22"/>
        </w:rPr>
        <w:t xml:space="preserve"> A pessoa atendida pode interromper o atendimento a qualquer momento. A Clínica só interrompe por motivo justificado, avisa com [número] dias de antecedência e encaminha a pessoa para continuar o cuidado. Se o profissional deixar a Clínica, a Clínica oferece outro profissional da mesma área ou o encaminhamento. (Resolução CFP 13/2022, art. 3º, I, a. CFFa 640/2021, arts. 9º, II, e 11, I. COFFITO 425/2013, art. 15, I. CDC, art. 51, XI.)</w:t>
      </w:r>
    </w:p>
    <w:p>
      <w:pPr>
        <w:spacing w:after="160" w:line="300" w:lineRule="auto"/>
      </w:pPr>
      <w:r>
        <w:rPr>
          <w:b/>
          <w:sz w:val="22"/>
        </w:rPr>
        <w:t xml:space="preserve">10. Criança e adolescente.</w:t>
      </w:r>
      <w:r>
        <w:rPr>
          <w:sz w:val="22"/>
        </w:rPr>
        <w:t xml:space="preserve"> Para pessoa menor de idade, o responsável legal assina a autorização do Anexo IV antes do início. (Resolução CFP 13/2022, art. 12, I. Veja o guia da autorização.)</w:t>
      </w:r>
    </w:p>
    <w:p>
      <w:pPr>
        <w:spacing w:after="160" w:line="300" w:lineRule="auto"/>
      </w:pPr>
      <w:r>
        <w:rPr>
          <w:b/>
          <w:sz w:val="22"/>
        </w:rPr>
        <w:t xml:space="preserve">11. Aceite.</w:t>
      </w:r>
      <w:r>
        <w:rPr>
          <w:sz w:val="22"/>
        </w:rPr>
        <w:t xml:space="preserve"> A pessoa recebeu este contrato e os anexos antes da primeira sessão, leu e concorda. [Local], [data]. [Assinatura de quem contrata]. [Assinatura da Clínica]. (CDC, arts. 39, VI, e 46.)</w:t>
      </w:r>
    </w:p>
    <w:p>
      <w:pPr>
        <w:spacing w:after="160" w:line="300" w:lineRule="auto"/>
      </w:pPr>
      <w:r>
        <w:rPr>
          <w:b/>
          <w:sz w:val="22"/>
        </w:rPr>
        <w:t xml:space="preserve">Anexo I:</w:t>
      </w:r>
      <w:r>
        <w:rPr>
          <w:sz w:val="22"/>
        </w:rPr>
        <w:t xml:space="preserve"> tabela com profissional, área, registro no conselho, serviço, valor, dia e horário. </w:t>
      </w:r>
      <w:r>
        <w:rPr>
          <w:b/>
          <w:sz w:val="22"/>
        </w:rPr>
        <w:t xml:space="preserve">Anexo II:</w:t>
      </w:r>
      <w:r>
        <w:rPr>
          <w:sz w:val="22"/>
        </w:rPr>
        <w:t xml:space="preserve"> regra de faltas e atrasos. </w:t>
      </w:r>
      <w:r>
        <w:rPr>
          <w:b/>
          <w:sz w:val="22"/>
        </w:rPr>
        <w:t xml:space="preserve">Anexo III:</w:t>
      </w:r>
      <w:r>
        <w:rPr>
          <w:sz w:val="22"/>
        </w:rPr>
        <w:t xml:space="preserve"> termo de dados pessoais. </w:t>
      </w:r>
      <w:r>
        <w:rPr>
          <w:b/>
          <w:sz w:val="22"/>
        </w:rPr>
        <w:t xml:space="preserve">Anexo IV:</w:t>
      </w:r>
      <w:r>
        <w:rPr>
          <w:sz w:val="22"/>
        </w:rPr>
        <w:t xml:space="preserve"> autorização do responsável.</w:t>
      </w:r>
    </w:p>
    <w:p>
      <w:pPr>
        <w:spacing w:after="200" w:line="300" w:lineRule="auto"/>
      </w:pPr>
    </w:p>
    <w:p>
      <w:pPr>
        <w:spacing w:after="60" w:line="300" w:lineRule="auto"/>
      </w:pPr>
      <w:r>
        <w:rPr>
          <w:color w:val="6B7280"/>
          <w:sz w:val="16"/>
        </w:rPr>
        <w:t xml:space="preserve">Modelo informativo publicado em https://primoia.ai/saude/guias/contrato-da-clinica-com-o-paciente/ (atualizado em 05/10/2026).</w:t>
      </w:r>
    </w:p>
    <w:p>
      <w:pPr>
        <w:spacing w:after="60" w:line="300" w:lineRule="auto"/>
      </w:pPr>
      <w:r>
        <w:rPr>
          <w:color w:val="6B7280"/>
          <w:sz w:val="16"/>
        </w:rPr>
        <w:t xml:space="preserve">Não é parecer jurídico nem contábil. Adapte ao seu caso e confirme com o seu Conselho Regional antes de usar.</w:t>
      </w:r>
    </w:p>
    <w:p>
      <w:pPr>
        <w:spacing w:after="60" w:line="300" w:lineRule="auto"/>
      </w:pPr>
      <w:r>
        <w:rPr>
          <w:color w:val="6B7280"/>
          <w:sz w:val="16"/>
        </w:rPr>
        <w:t xml:space="preserve">As normas citadas e as fontes estão na página.</w:t>
      </w:r>
    </w:p>
    <w:sectPr>
      <w:pgSz w:w="11906" w:h="16838"/>
      <w:pgMar w:top="1417" w:right="1417" w:bottom="1417" w:left="1417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pt-BR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Modelo de contrato da clínica com o paciente</dc:title>
  <dc:creator>Primoia</dc:creator>
  <dc:language>pt-BR</dc:language>
  <dcterms:created xsi:type="dcterms:W3CDTF">2026-10-05T12:00:00Z</dcterms:created>
  <dcterms:modified xsi:type="dcterms:W3CDTF">2026-10-05T12:00:00Z</dcterms:modified>
</cp:coreProperties>
</file>